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8" w:rsidRDefault="00FC2208" w:rsidP="00FC2208">
      <w:pPr>
        <w:ind w:right="-856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FC2208" w:rsidRDefault="00FC2208" w:rsidP="00FC2208">
      <w:pPr>
        <w:ind w:right="-856"/>
      </w:pPr>
      <w:r>
        <w:t>CNPJ: 54.683.818/0001-85</w:t>
      </w:r>
    </w:p>
    <w:p w:rsidR="00FC2208" w:rsidRDefault="00FC2208" w:rsidP="00FC2208">
      <w:pPr>
        <w:ind w:right="-856"/>
      </w:pPr>
      <w:r>
        <w:t>Praça Washington Luís, 665 – Centro / Telefax: (19) 3641-1763</w:t>
      </w:r>
    </w:p>
    <w:p w:rsidR="00FC2208" w:rsidRDefault="00FC2208" w:rsidP="00FC2208">
      <w:pPr>
        <w:ind w:right="-856"/>
      </w:pPr>
      <w:r>
        <w:t>CEP: 13.880-000 – Vargem Grande do Sul – SP</w:t>
      </w:r>
    </w:p>
    <w:p w:rsidR="00FC2208" w:rsidRDefault="00FC2208" w:rsidP="00FC2208">
      <w:pPr>
        <w:ind w:right="-856"/>
      </w:pPr>
      <w:r>
        <w:t xml:space="preserve">vargemgrandedosul.sp.leg.br-  E-mail: </w:t>
      </w:r>
      <w:hyperlink r:id="rId6" w:history="1">
        <w:r>
          <w:rPr>
            <w:rStyle w:val="Hyperlink"/>
          </w:rPr>
          <w:t>camaravgs@uol.com.br</w:t>
        </w:r>
      </w:hyperlink>
    </w:p>
    <w:p w:rsidR="006D7297" w:rsidRDefault="006D7297"/>
    <w:p w:rsidR="00FC2208" w:rsidRDefault="00FC2208"/>
    <w:p w:rsidR="00FC2208" w:rsidRPr="00D715E3" w:rsidRDefault="00FC2208">
      <w:pPr>
        <w:rPr>
          <w:sz w:val="4"/>
          <w:szCs w:val="4"/>
        </w:rPr>
      </w:pPr>
    </w:p>
    <w:p w:rsidR="00FC2208" w:rsidRPr="00B75DBE" w:rsidRDefault="00FC2208" w:rsidP="00FF2B2F">
      <w:pPr>
        <w:ind w:left="708" w:firstLine="708"/>
        <w:jc w:val="both"/>
        <w:rPr>
          <w:b/>
          <w:sz w:val="27"/>
          <w:szCs w:val="27"/>
          <w:u w:val="single"/>
        </w:rPr>
      </w:pPr>
      <w:r w:rsidRPr="00B75DBE">
        <w:rPr>
          <w:b/>
          <w:sz w:val="27"/>
          <w:szCs w:val="27"/>
          <w:u w:val="single"/>
        </w:rPr>
        <w:t>PARECER DA COMISSÃO DE FINANÇAS E ORÇAMENTO</w:t>
      </w:r>
    </w:p>
    <w:p w:rsidR="00FC2208" w:rsidRPr="00B75DBE" w:rsidRDefault="00FC2208" w:rsidP="005F05B5">
      <w:pPr>
        <w:jc w:val="both"/>
        <w:rPr>
          <w:b/>
          <w:sz w:val="27"/>
          <w:szCs w:val="27"/>
        </w:rPr>
      </w:pPr>
    </w:p>
    <w:p w:rsidR="00FC2208" w:rsidRPr="00B75DBE" w:rsidRDefault="00FC2208" w:rsidP="005F05B5">
      <w:pPr>
        <w:jc w:val="both"/>
        <w:rPr>
          <w:b/>
          <w:sz w:val="27"/>
          <w:szCs w:val="27"/>
        </w:rPr>
      </w:pPr>
    </w:p>
    <w:p w:rsidR="00FC2208" w:rsidRPr="00B75DBE" w:rsidRDefault="00FC2208" w:rsidP="005F05B5">
      <w:pPr>
        <w:jc w:val="both"/>
        <w:rPr>
          <w:b/>
          <w:sz w:val="27"/>
          <w:szCs w:val="27"/>
        </w:rPr>
      </w:pPr>
      <w:r w:rsidRPr="00B75DBE">
        <w:rPr>
          <w:b/>
          <w:sz w:val="27"/>
          <w:szCs w:val="27"/>
        </w:rPr>
        <w:t>REF: CONTAS ANUAIS DA PREFEITURA MUNICIPAL DE VARGE</w:t>
      </w:r>
      <w:r w:rsidR="00FF2B2F" w:rsidRPr="00B75DBE">
        <w:rPr>
          <w:b/>
          <w:sz w:val="27"/>
          <w:szCs w:val="27"/>
        </w:rPr>
        <w:t xml:space="preserve">M GRANDE DO SUL, EXERCÍCIO 2021 - </w:t>
      </w:r>
      <w:r w:rsidRPr="00B75DBE">
        <w:rPr>
          <w:b/>
          <w:sz w:val="27"/>
          <w:szCs w:val="27"/>
        </w:rPr>
        <w:t>PREFEITO: AMARILDO DUZI MORAES</w:t>
      </w:r>
    </w:p>
    <w:p w:rsidR="00FC2208" w:rsidRPr="00B75DBE" w:rsidRDefault="00FC2208" w:rsidP="005F05B5">
      <w:pPr>
        <w:jc w:val="both"/>
        <w:rPr>
          <w:sz w:val="27"/>
          <w:szCs w:val="27"/>
        </w:rPr>
      </w:pPr>
    </w:p>
    <w:p w:rsidR="00FF2B2F" w:rsidRPr="00B75DBE" w:rsidRDefault="00FF2B2F" w:rsidP="005F05B5">
      <w:pPr>
        <w:jc w:val="both"/>
        <w:rPr>
          <w:sz w:val="27"/>
          <w:szCs w:val="27"/>
        </w:rPr>
      </w:pPr>
    </w:p>
    <w:p w:rsidR="00FF2B2F" w:rsidRPr="00B75DBE" w:rsidRDefault="00FF2B2F" w:rsidP="005F05B5">
      <w:pPr>
        <w:jc w:val="both"/>
        <w:rPr>
          <w:sz w:val="27"/>
          <w:szCs w:val="27"/>
        </w:rPr>
      </w:pPr>
    </w:p>
    <w:p w:rsidR="003B4396" w:rsidRPr="00B75DBE" w:rsidRDefault="003B439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>TC-007034.989.20-2</w:t>
      </w:r>
    </w:p>
    <w:p w:rsidR="00FC2208" w:rsidRPr="00B75DBE" w:rsidRDefault="003B4396" w:rsidP="005F05B5">
      <w:pPr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>Prefeitura Municipal</w:t>
      </w:r>
    </w:p>
    <w:p w:rsidR="00682CC2" w:rsidRPr="00B75DBE" w:rsidRDefault="00682CC2" w:rsidP="005F05B5">
      <w:pPr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</w:p>
    <w:p w:rsidR="00682CC2" w:rsidRPr="00D715E3" w:rsidRDefault="00682CC2" w:rsidP="005F05B5">
      <w:pPr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682CC2" w:rsidRPr="00B75DBE" w:rsidRDefault="00682CC2" w:rsidP="005F05B5">
      <w:pPr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</w:p>
    <w:p w:rsidR="00FB3029" w:rsidRPr="00B75DBE" w:rsidRDefault="00FF2B2F" w:rsidP="00FF2B2F">
      <w:pPr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="00682CC2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Trata-se de Parecer do Tribunal de Contas do </w:t>
      </w:r>
      <w:r w:rsidR="00972D1B" w:rsidRPr="00B75DBE">
        <w:rPr>
          <w:rFonts w:ascii="Arial" w:eastAsiaTheme="minorHAnsi" w:hAnsi="Arial" w:cs="Arial"/>
          <w:sz w:val="27"/>
          <w:szCs w:val="27"/>
          <w:lang w:eastAsia="en-US"/>
        </w:rPr>
        <w:t>E</w:t>
      </w:r>
      <w:r w:rsidR="00682CC2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stado de São Paulo, proferido pela Egrégia 2ª Câmara, 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sobre a 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>Presidência e R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>elatoria do Conselheiro Renato Martins Costa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, que foi acompanhado 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>pelos Votos dos Conselheiros Robson Marinho e Cristiana de Castro Moraes que decidiram, por unanimidade, emitir Parecer Favorável à aprovação das</w:t>
      </w:r>
      <w:r w:rsidR="00682CC2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Contas da </w:t>
      </w:r>
      <w:r w:rsidR="00682CC2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>Prefeitura Municipal de Vargem Grande do Sul,</w:t>
      </w:r>
      <w:r w:rsidR="00FB3029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 </w:t>
      </w:r>
      <w:r w:rsidR="00682CC2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relativas ao </w:t>
      </w:r>
      <w:r w:rsidR="00682CC2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Exercício de 2021, 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de responsabilidade do</w:t>
      </w:r>
      <w:r w:rsidR="00FB3029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 Ex</w:t>
      </w: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mo. </w:t>
      </w:r>
      <w:r w:rsidR="00FB3029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Senhor Prefeito Amarildo </w:t>
      </w:r>
      <w:proofErr w:type="spellStart"/>
      <w:r w:rsidR="00FB3029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>Duzi</w:t>
      </w:r>
      <w:proofErr w:type="spellEnd"/>
      <w:r w:rsidR="00FB3029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 Moraes.</w:t>
      </w:r>
      <w:r w:rsidR="00972D1B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</w:p>
    <w:p w:rsidR="00FB3029" w:rsidRPr="00B75DBE" w:rsidRDefault="00FB3029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</w:p>
    <w:p w:rsidR="00682CC2" w:rsidRPr="00B75DBE" w:rsidRDefault="00FF2B2F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ab/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Os fatores que levaram a aprovação das contas dizem respeito aos seguintes itens e </w:t>
      </w:r>
      <w:r w:rsidR="00682CC2" w:rsidRPr="00B75DBE">
        <w:rPr>
          <w:rFonts w:ascii="Arial" w:eastAsiaTheme="minorHAnsi" w:hAnsi="Arial" w:cs="Arial"/>
          <w:sz w:val="27"/>
          <w:szCs w:val="27"/>
          <w:lang w:eastAsia="en-US"/>
        </w:rPr>
        <w:t>resultados:</w:t>
      </w:r>
    </w:p>
    <w:p w:rsidR="00FB3029" w:rsidRPr="00D715E3" w:rsidRDefault="00FB3029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b/>
          <w:i/>
          <w:iCs/>
          <w:sz w:val="25"/>
          <w:szCs w:val="25"/>
          <w:lang w:eastAsia="en-US"/>
        </w:rPr>
        <w:t xml:space="preserve">ITENS </w:t>
      </w:r>
      <w:r w:rsidR="00FB3029" w:rsidRPr="00B75DBE">
        <w:rPr>
          <w:rFonts w:ascii="Arial" w:eastAsiaTheme="minorHAnsi" w:hAnsi="Arial" w:cs="Arial"/>
          <w:b/>
          <w:i/>
          <w:iCs/>
          <w:sz w:val="25"/>
          <w:szCs w:val="25"/>
          <w:lang w:eastAsia="en-US"/>
        </w:rPr>
        <w:t xml:space="preserve">  </w:t>
      </w:r>
      <w:r w:rsidR="00FB3029" w:rsidRPr="00B75DBE">
        <w:rPr>
          <w:rFonts w:ascii="Arial" w:eastAsiaTheme="minorHAnsi" w:hAnsi="Arial" w:cs="Arial"/>
          <w:i/>
          <w:iCs/>
          <w:sz w:val="25"/>
          <w:szCs w:val="25"/>
          <w:lang w:eastAsia="en-US"/>
        </w:rPr>
        <w:t xml:space="preserve">                                                                                    </w:t>
      </w:r>
      <w:r w:rsidRPr="00B75DBE">
        <w:rPr>
          <w:rFonts w:ascii="Arial" w:eastAsiaTheme="minorHAnsi" w:hAnsi="Arial" w:cs="Arial"/>
          <w:b/>
          <w:i/>
          <w:iCs/>
          <w:sz w:val="25"/>
          <w:szCs w:val="25"/>
          <w:lang w:eastAsia="en-US"/>
        </w:rPr>
        <w:t>RESULTADOS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Ensino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          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27,45%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FUNDEB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    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100,00%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Magistério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   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73,18%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Pessoal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      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46,44%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Saúde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          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33,61%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Transferências ao Legislativo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</w:t>
      </w:r>
      <w:proofErr w:type="gramStart"/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Regular</w:t>
      </w:r>
      <w:proofErr w:type="gramEnd"/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Execução Orçamentária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</w:t>
      </w:r>
      <w:r w:rsidR="00D715E3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S</w:t>
      </w:r>
      <w:r w:rsidRPr="00D715E3">
        <w:rPr>
          <w:rFonts w:ascii="Arial" w:eastAsiaTheme="minorHAnsi" w:hAnsi="Arial" w:cs="Arial"/>
          <w:lang w:eastAsia="en-US"/>
        </w:rPr>
        <w:t>uperávit 0,12%= R$ 160.645,23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Resultado Financeiro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</w:t>
      </w:r>
      <w:r w:rsidR="00D715E3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</w:t>
      </w:r>
      <w:r w:rsidRPr="00D715E3">
        <w:rPr>
          <w:rFonts w:ascii="Arial" w:eastAsiaTheme="minorHAnsi" w:hAnsi="Arial" w:cs="Arial"/>
          <w:lang w:eastAsia="en-US"/>
        </w:rPr>
        <w:t>Superávit</w:t>
      </w:r>
      <w:r w:rsidR="00D715E3" w:rsidRPr="00D715E3">
        <w:rPr>
          <w:rFonts w:ascii="Arial" w:eastAsiaTheme="minorHAnsi" w:hAnsi="Arial" w:cs="Arial"/>
          <w:lang w:eastAsia="en-US"/>
        </w:rPr>
        <w:t xml:space="preserve">       </w:t>
      </w:r>
      <w:r w:rsidR="00D715E3">
        <w:rPr>
          <w:rFonts w:ascii="Arial" w:eastAsiaTheme="minorHAnsi" w:hAnsi="Arial" w:cs="Arial"/>
          <w:lang w:eastAsia="en-US"/>
        </w:rPr>
        <w:t xml:space="preserve">   =</w:t>
      </w:r>
      <w:r w:rsidR="00D715E3" w:rsidRPr="00D715E3">
        <w:rPr>
          <w:rFonts w:ascii="Arial" w:eastAsiaTheme="minorHAnsi" w:hAnsi="Arial" w:cs="Arial"/>
          <w:lang w:eastAsia="en-US"/>
        </w:rPr>
        <w:t xml:space="preserve"> </w:t>
      </w:r>
      <w:r w:rsidRPr="00D715E3">
        <w:rPr>
          <w:rFonts w:ascii="Arial" w:eastAsiaTheme="minorHAnsi" w:hAnsi="Arial" w:cs="Arial"/>
          <w:lang w:eastAsia="en-US"/>
        </w:rPr>
        <w:t>R$ 8.223.086,65</w:t>
      </w:r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Remuneração dos Agentes Políticos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</w:t>
      </w:r>
      <w:proofErr w:type="gramStart"/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Regular</w:t>
      </w:r>
      <w:proofErr w:type="gramEnd"/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Precatórios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          </w:t>
      </w:r>
      <w:proofErr w:type="gramStart"/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Regular</w:t>
      </w:r>
      <w:proofErr w:type="gramEnd"/>
    </w:p>
    <w:p w:rsidR="00682CC2" w:rsidRPr="00B75DBE" w:rsidRDefault="00682CC2" w:rsidP="005F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Encargos Sociais </w:t>
      </w:r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                                           </w:t>
      </w:r>
      <w:proofErr w:type="gramStart"/>
      <w:r w:rsidR="00FB3029" w:rsidRPr="00B75DB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 w:rsidRPr="00B75DBE">
        <w:rPr>
          <w:rFonts w:ascii="Arial" w:eastAsiaTheme="minorHAnsi" w:hAnsi="Arial" w:cs="Arial"/>
          <w:sz w:val="25"/>
          <w:szCs w:val="25"/>
          <w:lang w:eastAsia="en-US"/>
        </w:rPr>
        <w:t>Regular</w:t>
      </w:r>
      <w:proofErr w:type="gramEnd"/>
    </w:p>
    <w:p w:rsidR="00FB3029" w:rsidRPr="00B75DBE" w:rsidRDefault="00D715E3" w:rsidP="005F05B5">
      <w:pPr>
        <w:jc w:val="both"/>
        <w:rPr>
          <w:rFonts w:ascii="Arial" w:eastAsiaTheme="minorHAnsi" w:hAnsi="Arial" w:cs="Arial"/>
          <w:bCs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lastRenderedPageBreak/>
        <w:tab/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ab/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ab/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Para melhor </w:t>
      </w:r>
      <w:r w:rsidR="00972D1B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e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ntendimento d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a decisão d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a Corte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 de Contas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, pedimos vênia para citar um trecho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 do fundamento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 do voto do Eminente 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R</w:t>
      </w:r>
      <w:r w:rsidR="00FB3029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>elator, nessas palavras:</w:t>
      </w:r>
    </w:p>
    <w:p w:rsidR="00FB3029" w:rsidRPr="00B75DBE" w:rsidRDefault="00FB3029" w:rsidP="005F05B5">
      <w:pPr>
        <w:jc w:val="both"/>
        <w:rPr>
          <w:rFonts w:ascii="Arial" w:eastAsiaTheme="minorHAnsi" w:hAnsi="Arial" w:cs="Arial"/>
          <w:bCs/>
          <w:sz w:val="27"/>
          <w:szCs w:val="27"/>
          <w:lang w:eastAsia="en-US"/>
        </w:rPr>
      </w:pPr>
    </w:p>
    <w:p w:rsidR="00E25395" w:rsidRPr="00D57116" w:rsidRDefault="00972D1B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D57116"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  <w:t>“</w:t>
      </w:r>
      <w:r w:rsidR="00FF2B2F" w:rsidRPr="00D57116"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  <w:t xml:space="preserve"> ...</w:t>
      </w:r>
      <w:r w:rsidR="00FF2B2F" w:rsidRPr="00D57116"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  <w:tab/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Dentre os principais aspectos avaliados por esta E. Corte, destaco: o cumprimento dos mínimos constitucionais e legais da Saúde e do Ensino; a observância aos limites das transferências ao Poder Legislativo e das despesas com pessoal; a quitação dos precatórios judiciais e dos requisitórios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de pequeno valor; e o recolhimento dos encargos sociais devidos no exercício,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bem como o cumprimento de acordos de parcelamento firmados em exercícios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pretéritos. </w:t>
      </w:r>
    </w:p>
    <w:p w:rsidR="00E25395" w:rsidRPr="00D57116" w:rsidRDefault="00E25395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:rsidR="00FB3029" w:rsidRPr="00D57116" w:rsidRDefault="00E25395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F2B2F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ab/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No plano fiscal, o Município de Vargem Grande do Sul apresentou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superávits orçamentário e financeiro, evidenciando capacidade para saldar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FB3029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seus compromissos registrados no Passivo Financeiro.</w:t>
      </w:r>
    </w:p>
    <w:p w:rsidR="00E25395" w:rsidRPr="00D57116" w:rsidRDefault="00E25395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:rsidR="00FB3029" w:rsidRPr="00D57116" w:rsidRDefault="00FB3029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Quanto aos demais aspectos econômicos, a dívida de longo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prazo, ainda que em pequeno montante, foi reduzida de R$ 26.811.701,53 para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R$ 26.789.063,32, enquanto foram realizados investimentos da ordem de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4,23% da Receita Corrente Líquida.</w:t>
      </w:r>
    </w:p>
    <w:p w:rsidR="00E25395" w:rsidRPr="00D57116" w:rsidRDefault="00E25395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:rsidR="00FB3029" w:rsidRPr="00D57116" w:rsidRDefault="00FB3029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As alterações orçamentárias, equivalentes a 44,84% da despesa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inicialmente fixada, não culminaram em desequilíbrio fiscal; contudo, cabe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severa advertência à Origem para que estabeleça limite para abertura de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créditos adicionais e transposições, remanejamentos e transferências em linha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os índices inflacionários, consoante o disposto no Comunicado SDG nº 29/10.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</w:p>
    <w:p w:rsidR="00E25395" w:rsidRPr="00D57116" w:rsidRDefault="00E25395" w:rsidP="00D71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:rsidR="00FB3029" w:rsidRPr="00B75DBE" w:rsidRDefault="00FB3029" w:rsidP="00300A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As falhas relativas: à inadequação ao art. 9º, §§ 2º e 3º, da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Emenda Constitucional nº 103/19; e à falta de medicamentos no 1º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quadrimestre do exercício, podem ser afastadas diante das justificativas</w:t>
      </w:r>
      <w:r w:rsidR="00E25395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apresentadas</w:t>
      </w:r>
      <w:r w:rsidR="00972D1B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”</w:t>
      </w:r>
      <w:r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>.</w:t>
      </w:r>
      <w:r w:rsidR="00D715E3" w:rsidRPr="00D57116">
        <w:rPr>
          <w:rFonts w:ascii="Arial" w:eastAsiaTheme="minorHAnsi" w:hAnsi="Arial" w:cs="Arial"/>
          <w:b/>
          <w:i/>
          <w:sz w:val="26"/>
          <w:szCs w:val="26"/>
          <w:lang w:eastAsia="en-US"/>
        </w:rPr>
        <w:tab/>
      </w:r>
      <w:r w:rsidR="00D715E3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</w:p>
    <w:p w:rsidR="00300A22" w:rsidRDefault="00300A22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E83D7B" w:rsidRPr="00E83D7B" w:rsidRDefault="00E83D7B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972D1B" w:rsidRPr="00B75DBE" w:rsidRDefault="00FF2B2F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  <w:t xml:space="preserve">Estes os fundamentos do Acórdão que </w:t>
      </w:r>
      <w:r w:rsidR="00300A22">
        <w:rPr>
          <w:rFonts w:ascii="Arial" w:eastAsiaTheme="minorHAnsi" w:hAnsi="Arial" w:cs="Arial"/>
          <w:sz w:val="27"/>
          <w:szCs w:val="27"/>
          <w:lang w:eastAsia="en-US"/>
        </w:rPr>
        <w:t xml:space="preserve">fundamentaram 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o </w:t>
      </w:r>
      <w:proofErr w:type="gramStart"/>
      <w:r w:rsidRPr="00B75DBE">
        <w:rPr>
          <w:rFonts w:ascii="Arial" w:eastAsiaTheme="minorHAnsi" w:hAnsi="Arial" w:cs="Arial"/>
          <w:sz w:val="27"/>
          <w:szCs w:val="27"/>
          <w:lang w:eastAsia="en-US"/>
        </w:rPr>
        <w:t>Parecer  Favorável</w:t>
      </w:r>
      <w:proofErr w:type="gramEnd"/>
      <w:r w:rsidR="00300A22">
        <w:rPr>
          <w:rFonts w:ascii="Arial" w:eastAsiaTheme="minorHAnsi" w:hAnsi="Arial" w:cs="Arial"/>
          <w:sz w:val="27"/>
          <w:szCs w:val="27"/>
          <w:lang w:eastAsia="en-US"/>
        </w:rPr>
        <w:t xml:space="preserve"> do TCE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na aprovação das contas da Prefeitura</w:t>
      </w:r>
      <w:r w:rsidR="00300A22">
        <w:rPr>
          <w:rFonts w:ascii="Arial" w:eastAsiaTheme="minorHAnsi" w:hAnsi="Arial" w:cs="Arial"/>
          <w:sz w:val="27"/>
          <w:szCs w:val="27"/>
          <w:lang w:eastAsia="en-US"/>
        </w:rPr>
        <w:t xml:space="preserve"> Municipal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do Exercício 2021.</w:t>
      </w:r>
    </w:p>
    <w:p w:rsidR="00FF2B2F" w:rsidRPr="00300A22" w:rsidRDefault="00A5034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</w:p>
    <w:p w:rsidR="00FF2B2F" w:rsidRPr="00B75DBE" w:rsidRDefault="00300A22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7"/>
          <w:szCs w:val="27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ab/>
      </w:r>
      <w:r>
        <w:rPr>
          <w:rFonts w:ascii="Arial" w:eastAsiaTheme="minorHAnsi" w:hAnsi="Arial" w:cs="Arial"/>
          <w:sz w:val="27"/>
          <w:szCs w:val="27"/>
          <w:lang w:eastAsia="en-US"/>
        </w:rPr>
        <w:tab/>
      </w:r>
      <w:r>
        <w:rPr>
          <w:rFonts w:ascii="Arial" w:eastAsiaTheme="minorHAnsi" w:hAnsi="Arial" w:cs="Arial"/>
          <w:sz w:val="27"/>
          <w:szCs w:val="27"/>
          <w:lang w:eastAsia="en-US"/>
        </w:rPr>
        <w:tab/>
        <w:t>Por outro lado</w:t>
      </w:r>
      <w:r w:rsidR="00FF2B2F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, dada a relevância das questões postas no Parecer, </w:t>
      </w:r>
      <w:r w:rsidR="00E83D7B">
        <w:rPr>
          <w:rFonts w:ascii="Arial" w:eastAsiaTheme="minorHAnsi" w:hAnsi="Arial" w:cs="Arial"/>
          <w:sz w:val="27"/>
          <w:szCs w:val="27"/>
          <w:lang w:eastAsia="en-US"/>
        </w:rPr>
        <w:t xml:space="preserve">pedimos vênia para citar, também, </w:t>
      </w:r>
      <w:r w:rsidR="00FF2B2F" w:rsidRPr="00B75DBE">
        <w:rPr>
          <w:rFonts w:ascii="Arial" w:eastAsiaTheme="minorHAnsi" w:hAnsi="Arial" w:cs="Arial"/>
          <w:sz w:val="27"/>
          <w:szCs w:val="27"/>
          <w:lang w:eastAsia="en-US"/>
        </w:rPr>
        <w:t>os</w:t>
      </w:r>
      <w:r w:rsidR="00E83D7B">
        <w:rPr>
          <w:rFonts w:ascii="Arial" w:eastAsiaTheme="minorHAnsi" w:hAnsi="Arial" w:cs="Arial"/>
          <w:sz w:val="27"/>
          <w:szCs w:val="27"/>
          <w:lang w:eastAsia="en-US"/>
        </w:rPr>
        <w:t xml:space="preserve"> </w:t>
      </w:r>
      <w:r w:rsidR="00E83D7B" w:rsidRPr="00E83D7B">
        <w:rPr>
          <w:rFonts w:ascii="Arial" w:eastAsiaTheme="minorHAnsi" w:hAnsi="Arial" w:cs="Arial"/>
          <w:b/>
          <w:sz w:val="27"/>
          <w:szCs w:val="27"/>
          <w:lang w:eastAsia="en-US"/>
        </w:rPr>
        <w:t>alertas</w:t>
      </w:r>
      <w:r w:rsidR="00E83D7B">
        <w:rPr>
          <w:rFonts w:ascii="Arial" w:eastAsiaTheme="minorHAnsi" w:hAnsi="Arial" w:cs="Arial"/>
          <w:sz w:val="27"/>
          <w:szCs w:val="27"/>
          <w:lang w:eastAsia="en-US"/>
        </w:rPr>
        <w:t xml:space="preserve"> feitos pelos </w:t>
      </w:r>
      <w:r w:rsidR="00FF2B2F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Conselheiros </w:t>
      </w:r>
      <w:r w:rsidR="00E83D7B">
        <w:rPr>
          <w:rFonts w:ascii="Arial" w:eastAsiaTheme="minorHAnsi" w:hAnsi="Arial" w:cs="Arial"/>
          <w:sz w:val="27"/>
          <w:szCs w:val="27"/>
          <w:lang w:eastAsia="en-US"/>
        </w:rPr>
        <w:t xml:space="preserve">no referido parecer, com o título de </w:t>
      </w:r>
      <w:r w:rsidR="00E83D7B" w:rsidRPr="00E83D7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“O</w:t>
      </w:r>
      <w:r w:rsidR="00972D1B" w:rsidRPr="00E83D7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CORRÊNCIAS QUE DEMANDAM CORREÇÃO IMEDIATA</w:t>
      </w:r>
      <w:r w:rsidR="00E83D7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”</w:t>
      </w:r>
      <w:r w:rsidR="00972D1B" w:rsidRPr="00B75DBE"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 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e neste particular </w:t>
      </w:r>
      <w:proofErr w:type="gramStart"/>
      <w:r w:rsidR="00E83D7B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ficou 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 assentado</w:t>
      </w:r>
      <w:proofErr w:type="gramEnd"/>
      <w:r w:rsidR="00E83D7B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 que</w:t>
      </w:r>
      <w:r w:rsidR="00FF2B2F" w:rsidRPr="00B75DBE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: </w:t>
      </w:r>
    </w:p>
    <w:p w:rsidR="00FF2B2F" w:rsidRPr="00B75DBE" w:rsidRDefault="00FF2B2F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sz w:val="27"/>
          <w:szCs w:val="27"/>
          <w:lang w:eastAsia="en-US"/>
        </w:rPr>
      </w:pPr>
    </w:p>
    <w:p w:rsidR="00972D1B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bCs/>
          <w:i/>
          <w:sz w:val="27"/>
          <w:szCs w:val="27"/>
          <w:lang w:eastAsia="en-US"/>
        </w:rPr>
        <w:t>“...</w:t>
      </w:r>
      <w:r w:rsidRPr="00B75DBE">
        <w:rPr>
          <w:rFonts w:ascii="Arial" w:eastAsiaTheme="minorHAnsi" w:hAnsi="Arial" w:cs="Arial"/>
          <w:b/>
          <w:bCs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Em relação aos honorários de sucumbência, cumpre registrar que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o E. Supremo Tribunal Federal em recente decisão concluiu pela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constitucionalidade de seu recebimento por Procuradores Públicos,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lastRenderedPageBreak/>
        <w:t>desde que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limitados ao teto fixado pelo art. 37, XI, da Constituição Federal.</w:t>
      </w:r>
    </w:p>
    <w:p w:rsidR="00972D1B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Muito embora não tenha sido constatada percepção de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remuneração em valores superiores ao teto, é de se advertir a Municipalidade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para que contabilize as verbas de sucumbência nos demonstrativos de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pagamento com o fito de aferir o cumprimento aos mandamentos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constitucionais.</w:t>
      </w:r>
    </w:p>
    <w:p w:rsidR="005F05B5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A média apurada no IEGM foi “C+”, gestão considerada em “fase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de adequação” perante os critérios de avaliação, em razão dos resultados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insatisfatórios obtidos nos indicadores relativos aos Setores de Planejamento,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Educação, Saúde, Meio Ambiente e Governança de TI.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</w:p>
    <w:p w:rsidR="00972D1B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Não obstante, considerando as condições que envolvem a análise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das contas, bem como os reflexos da Pandemia da Covid-19 nas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Administrações Municipais e as vedações contidas no art. 8º da Lei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Complementar Federal nº 173/20, tenho que tais resultados podem ser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relevados, sem embargo de severa advertência para que a Prefeitura revise e</w:t>
      </w:r>
      <w:r w:rsidR="005F05B5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saneie os desacertos apurados em cada índice setorial.</w:t>
      </w:r>
    </w:p>
    <w:p w:rsidR="00972D1B" w:rsidRPr="00B11133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>Destaco a necessidade de correção imediata das falhas de maior</w:t>
      </w:r>
      <w:r w:rsidR="00FF2B2F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</w:t>
      </w:r>
      <w:r w:rsidR="00972D1B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>gravidade, relativas: ao déficit de vagas em creches; ao descumprimento do</w:t>
      </w:r>
      <w:r w:rsidR="00FF2B2F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</w:t>
      </w:r>
      <w:r w:rsidR="00972D1B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>Piso Nacional do Magistério Público da Educação Básica; e à ausência de</w:t>
      </w:r>
      <w:r w:rsidR="00FF2B2F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</w:t>
      </w:r>
      <w:r w:rsidR="00972D1B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>AVCB ou CLCB, bem como de Alvará de Funcionamento da Vigilância</w:t>
      </w:r>
      <w:r w:rsidR="00FF2B2F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</w:t>
      </w:r>
      <w:r w:rsidR="00972D1B" w:rsidRPr="00B11133">
        <w:rPr>
          <w:rFonts w:ascii="Arial" w:eastAsiaTheme="minorHAnsi" w:hAnsi="Arial" w:cs="Arial"/>
          <w:b/>
          <w:i/>
          <w:sz w:val="28"/>
          <w:szCs w:val="28"/>
          <w:lang w:eastAsia="en-US"/>
        </w:rPr>
        <w:t>Sanitária nas Unidades Básicas de Saúde.</w:t>
      </w:r>
    </w:p>
    <w:p w:rsidR="00972D1B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Cabível advertência, também, para que a Prefeitura: passe a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contabilizar os valores dispendidos com terceirização de mão-de-obra como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“Outras despesas de Pessoal”, conforme determinado no art. 18, § 1º, da Lei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de Responsabilidade Fiscal; promova as alterações necessárias na legislação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municipal,</w:t>
      </w: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adequando os requisitos mínimos de escolaridade para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preenchimento dos cargos em comissão ao recomendado no Comunicado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SDG nº 32/15; e proceda à realização de Convênio ou Termo de Adesão com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Entidade de Previdência Complementar, observando ao disposto na Lei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Municipal nº 4.612/21.</w:t>
      </w:r>
    </w:p>
    <w:p w:rsidR="00972D1B" w:rsidRPr="00B75DBE" w:rsidRDefault="00A50346" w:rsidP="00E83D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ab/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Relembro que a reincidência das falhas poderá culminar em juízo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desfavorável na apreciação das contas relativas a exercícios vindouros,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sujeitando o Responsável às sanções previstas no art. 104 da Lei</w:t>
      </w:r>
      <w:r w:rsidR="00FF2B2F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 xml:space="preserve"> 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Complementar Estadual nº 709/93</w:t>
      </w:r>
      <w:r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”</w:t>
      </w:r>
      <w:r w:rsidR="00972D1B" w:rsidRPr="00B75DBE">
        <w:rPr>
          <w:rFonts w:ascii="Arial" w:eastAsiaTheme="minorHAnsi" w:hAnsi="Arial" w:cs="Arial"/>
          <w:b/>
          <w:i/>
          <w:sz w:val="27"/>
          <w:szCs w:val="27"/>
          <w:lang w:eastAsia="en-US"/>
        </w:rPr>
        <w:t>.</w:t>
      </w:r>
    </w:p>
    <w:p w:rsidR="00D57116" w:rsidRPr="00D57116" w:rsidRDefault="00D5711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3D451D" w:rsidRDefault="003D451D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ab/>
      </w:r>
      <w:r>
        <w:rPr>
          <w:rFonts w:ascii="Arial" w:eastAsiaTheme="minorHAnsi" w:hAnsi="Arial" w:cs="Arial"/>
          <w:sz w:val="27"/>
          <w:szCs w:val="27"/>
          <w:lang w:eastAsia="en-US"/>
        </w:rPr>
        <w:tab/>
      </w:r>
      <w:r>
        <w:rPr>
          <w:rFonts w:ascii="Arial" w:eastAsiaTheme="minorHAnsi" w:hAnsi="Arial" w:cs="Arial"/>
          <w:sz w:val="27"/>
          <w:szCs w:val="27"/>
          <w:lang w:eastAsia="en-US"/>
        </w:rPr>
        <w:tab/>
        <w:t xml:space="preserve">Ao final, abra-se um parêntese para registrar que </w:t>
      </w:r>
      <w:r w:rsidR="00D57116">
        <w:rPr>
          <w:rFonts w:ascii="Arial" w:eastAsiaTheme="minorHAnsi" w:hAnsi="Arial" w:cs="Arial"/>
          <w:sz w:val="27"/>
          <w:szCs w:val="27"/>
          <w:lang w:eastAsia="en-US"/>
        </w:rPr>
        <w:t xml:space="preserve">segundo informações passadas pelo Senhor Prefeito, o apontamento do TCE em relação a ausência de AVCB ou CLCB nas Unidades Básicas de Saúde do Município, essa questão já foi solucionada, com a obtenção dos Alvarás juntos aos Órgãos competentes. </w:t>
      </w:r>
    </w:p>
    <w:p w:rsidR="00D57116" w:rsidRPr="00B75DBE" w:rsidRDefault="00D5711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</w:p>
    <w:p w:rsidR="00E42D51" w:rsidRPr="004E2CBD" w:rsidRDefault="00A5034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>Desta forma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, considerando que 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>as ocorrências foram rel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>ev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adas pelos </w:t>
      </w:r>
      <w:r w:rsidR="00B11133">
        <w:rPr>
          <w:rFonts w:ascii="Arial" w:eastAsiaTheme="minorHAnsi" w:hAnsi="Arial" w:cs="Arial"/>
          <w:sz w:val="27"/>
          <w:szCs w:val="27"/>
          <w:lang w:eastAsia="en-US"/>
        </w:rPr>
        <w:t>C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onselheiros 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na decisão da </w:t>
      </w:r>
      <w:r w:rsidR="003D451D">
        <w:rPr>
          <w:rFonts w:ascii="Arial" w:eastAsiaTheme="minorHAnsi" w:hAnsi="Arial" w:cs="Arial"/>
          <w:sz w:val="27"/>
          <w:szCs w:val="27"/>
          <w:lang w:eastAsia="en-US"/>
        </w:rPr>
        <w:t>E.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 2ª Câmara 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que </w:t>
      </w:r>
      <w:r w:rsidR="003D451D">
        <w:rPr>
          <w:rFonts w:ascii="Arial" w:eastAsiaTheme="minorHAnsi" w:hAnsi="Arial" w:cs="Arial"/>
          <w:sz w:val="27"/>
          <w:szCs w:val="27"/>
          <w:lang w:eastAsia="en-US"/>
        </w:rPr>
        <w:t xml:space="preserve">proferiram 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Parecer Favorável à aprovação das contas 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da Prefeitura Municipal 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>– E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>xercício 2021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 - 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>esta Comissão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 de Finanças e Orçamento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 da Câmara Municipal,</w:t>
      </w:r>
      <w:r w:rsidR="000D4781">
        <w:rPr>
          <w:rFonts w:ascii="Arial" w:eastAsiaTheme="minorHAnsi" w:hAnsi="Arial" w:cs="Arial"/>
          <w:sz w:val="27"/>
          <w:szCs w:val="27"/>
          <w:lang w:eastAsia="en-US"/>
        </w:rPr>
        <w:t xml:space="preserve"> 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>DECIDE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>,</w:t>
      </w:r>
      <w:r w:rsidR="00FB3029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pela unanimidade de seus membros, </w:t>
      </w:r>
      <w:r w:rsidR="0080225C" w:rsidRPr="004E2CBD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emitir </w:t>
      </w:r>
      <w:r w:rsidRPr="004E2CBD">
        <w:rPr>
          <w:rFonts w:ascii="Arial" w:eastAsiaTheme="minorHAnsi" w:hAnsi="Arial" w:cs="Arial"/>
          <w:b/>
          <w:sz w:val="27"/>
          <w:szCs w:val="27"/>
          <w:lang w:eastAsia="en-US"/>
        </w:rPr>
        <w:t>PARECER FAVORÁVEL</w:t>
      </w:r>
      <w:r w:rsidR="0080225C" w:rsidRPr="004E2CBD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 PELA APROVAÇÃO do Parecer do Tribunal </w:t>
      </w:r>
      <w:r w:rsidR="00E42D51" w:rsidRPr="004E2CBD">
        <w:rPr>
          <w:rFonts w:ascii="Arial" w:eastAsiaTheme="minorHAnsi" w:hAnsi="Arial" w:cs="Arial"/>
          <w:b/>
          <w:sz w:val="27"/>
          <w:szCs w:val="27"/>
          <w:lang w:eastAsia="en-US"/>
        </w:rPr>
        <w:t>de Contas.</w:t>
      </w:r>
    </w:p>
    <w:p w:rsidR="00E42D51" w:rsidRPr="00B75DBE" w:rsidRDefault="003D451D" w:rsidP="003D4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ab/>
      </w:r>
    </w:p>
    <w:p w:rsidR="00E42D51" w:rsidRPr="00B75DBE" w:rsidRDefault="00A5034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>Isto é o que cabia a esta</w:t>
      </w:r>
      <w:r w:rsidR="00517183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</w:t>
      </w:r>
      <w:r w:rsidR="00E42D51" w:rsidRPr="00B75DBE">
        <w:rPr>
          <w:rFonts w:ascii="Arial" w:eastAsiaTheme="minorHAnsi" w:hAnsi="Arial" w:cs="Arial"/>
          <w:sz w:val="27"/>
          <w:szCs w:val="27"/>
          <w:lang w:eastAsia="en-US"/>
        </w:rPr>
        <w:t>Comissão de Finanças e Orçamento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>, que em atendimento aos ditames d</w:t>
      </w:r>
      <w:r w:rsidR="00E42D51" w:rsidRPr="00B75DBE">
        <w:rPr>
          <w:rFonts w:ascii="Arial" w:eastAsiaTheme="minorHAnsi" w:hAnsi="Arial" w:cs="Arial"/>
          <w:sz w:val="27"/>
          <w:szCs w:val="27"/>
          <w:lang w:eastAsia="en-US"/>
        </w:rPr>
        <w:t>o art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igo </w:t>
      </w:r>
      <w:r w:rsidR="00517183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260, § 1º </w:t>
      </w:r>
      <w:r w:rsidR="00E42D51" w:rsidRPr="00B75DBE">
        <w:rPr>
          <w:rFonts w:ascii="Arial" w:eastAsiaTheme="minorHAnsi" w:hAnsi="Arial" w:cs="Arial"/>
          <w:sz w:val="27"/>
          <w:szCs w:val="27"/>
          <w:lang w:eastAsia="en-US"/>
        </w:rPr>
        <w:t>do Regimento Interno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 apresenta seu parecer dentro do prazo legal; e, nos termos do art. 260, § 3º, requerem ao Exmo. Presidente desta Casa que o inclua na próxima Sessão</w:t>
      </w:r>
      <w:r w:rsidR="00EA2779">
        <w:rPr>
          <w:rFonts w:ascii="Arial" w:eastAsiaTheme="minorHAnsi" w:hAnsi="Arial" w:cs="Arial"/>
          <w:sz w:val="27"/>
          <w:szCs w:val="27"/>
          <w:lang w:eastAsia="en-US"/>
        </w:rPr>
        <w:t xml:space="preserve"> Ord</w:t>
      </w:r>
      <w:bookmarkStart w:id="0" w:name="_GoBack"/>
      <w:bookmarkEnd w:id="0"/>
      <w:r w:rsidR="00EA2779">
        <w:rPr>
          <w:rFonts w:ascii="Arial" w:eastAsiaTheme="minorHAnsi" w:hAnsi="Arial" w:cs="Arial"/>
          <w:sz w:val="27"/>
          <w:szCs w:val="27"/>
          <w:lang w:eastAsia="en-US"/>
        </w:rPr>
        <w:t>inária</w:t>
      </w:r>
      <w:r w:rsidR="0080225C">
        <w:rPr>
          <w:rFonts w:ascii="Arial" w:eastAsiaTheme="minorHAnsi" w:hAnsi="Arial" w:cs="Arial"/>
          <w:sz w:val="27"/>
          <w:szCs w:val="27"/>
          <w:lang w:eastAsia="en-US"/>
        </w:rPr>
        <w:t xml:space="preserve"> para discussão e votação.</w:t>
      </w:r>
    </w:p>
    <w:p w:rsidR="00E42D51" w:rsidRPr="00B75DBE" w:rsidRDefault="00E42D51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</w:p>
    <w:p w:rsidR="00E42D51" w:rsidRPr="008442CA" w:rsidRDefault="00A50346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</w:pP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ab/>
      </w:r>
      <w:r w:rsidR="00E42D51" w:rsidRPr="00B75DBE">
        <w:rPr>
          <w:rFonts w:ascii="Arial" w:eastAsiaTheme="minorHAnsi" w:hAnsi="Arial" w:cs="Arial"/>
          <w:sz w:val="27"/>
          <w:szCs w:val="27"/>
          <w:lang w:eastAsia="en-US"/>
        </w:rPr>
        <w:t>Assi</w:t>
      </w:r>
      <w:r w:rsidRPr="00B75DBE">
        <w:rPr>
          <w:rFonts w:ascii="Arial" w:eastAsiaTheme="minorHAnsi" w:hAnsi="Arial" w:cs="Arial"/>
          <w:sz w:val="27"/>
          <w:szCs w:val="27"/>
          <w:lang w:eastAsia="en-US"/>
        </w:rPr>
        <w:t>nam</w:t>
      </w:r>
      <w:r w:rsidR="00E42D51" w:rsidRPr="00B75DBE">
        <w:rPr>
          <w:rFonts w:ascii="Arial" w:eastAsiaTheme="minorHAnsi" w:hAnsi="Arial" w:cs="Arial"/>
          <w:sz w:val="27"/>
          <w:szCs w:val="27"/>
          <w:lang w:eastAsia="en-US"/>
        </w:rPr>
        <w:t xml:space="preserve"> os membros da </w:t>
      </w:r>
      <w:r w:rsidR="00E42D51" w:rsidRPr="008442CA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C</w:t>
      </w:r>
      <w:r w:rsidR="00046282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omissão:</w:t>
      </w:r>
    </w:p>
    <w:p w:rsidR="00E42D51" w:rsidRPr="00B75DBE" w:rsidRDefault="00E42D51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</w:p>
    <w:p w:rsidR="00E42D51" w:rsidRPr="00B75DBE" w:rsidRDefault="00E42D51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</w:p>
    <w:p w:rsidR="00E42D51" w:rsidRDefault="00E42D51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Antônio Sérgio da Silva </w:t>
      </w:r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– (</w:t>
      </w:r>
      <w:proofErr w:type="gramStart"/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Presidente)_</w:t>
      </w:r>
      <w:proofErr w:type="gramEnd"/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________________</w:t>
      </w:r>
    </w:p>
    <w:p w:rsidR="004E2CBD" w:rsidRDefault="004E2CBD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</w:p>
    <w:p w:rsidR="004E2CBD" w:rsidRPr="008442CA" w:rsidRDefault="004E2CBD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Hélio Magalhães Pereira – (</w:t>
      </w:r>
      <w:r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Vice- </w:t>
      </w:r>
      <w:proofErr w:type="gramStart"/>
      <w:r>
        <w:rPr>
          <w:rFonts w:ascii="Arial" w:eastAsiaTheme="minorHAnsi" w:hAnsi="Arial" w:cs="Arial"/>
          <w:b/>
          <w:sz w:val="27"/>
          <w:szCs w:val="27"/>
          <w:lang w:eastAsia="en-US"/>
        </w:rPr>
        <w:t>Presidente</w:t>
      </w: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)_</w:t>
      </w:r>
      <w:proofErr w:type="gramEnd"/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_</w:t>
      </w:r>
      <w:r>
        <w:rPr>
          <w:rFonts w:ascii="Arial" w:eastAsiaTheme="minorHAnsi" w:hAnsi="Arial" w:cs="Arial"/>
          <w:b/>
          <w:sz w:val="27"/>
          <w:szCs w:val="27"/>
          <w:lang w:eastAsia="en-US"/>
        </w:rPr>
        <w:t>_</w:t>
      </w: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_________</w:t>
      </w:r>
    </w:p>
    <w:p w:rsidR="00CE2497" w:rsidRPr="008442CA" w:rsidRDefault="00CE2497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</w:p>
    <w:p w:rsidR="00E42D51" w:rsidRPr="008442CA" w:rsidRDefault="00E42D51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Paulo Cesar da Costa – </w:t>
      </w:r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(</w:t>
      </w:r>
      <w:proofErr w:type="gramStart"/>
      <w:r w:rsidR="004E2CBD">
        <w:rPr>
          <w:rFonts w:ascii="Arial" w:eastAsiaTheme="minorHAnsi" w:hAnsi="Arial" w:cs="Arial"/>
          <w:b/>
          <w:sz w:val="27"/>
          <w:szCs w:val="27"/>
          <w:lang w:eastAsia="en-US"/>
        </w:rPr>
        <w:t>Secretário</w:t>
      </w:r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)_</w:t>
      </w:r>
      <w:proofErr w:type="gramEnd"/>
      <w:r w:rsidR="004E2CBD">
        <w:rPr>
          <w:rFonts w:ascii="Arial" w:eastAsiaTheme="minorHAnsi" w:hAnsi="Arial" w:cs="Arial"/>
          <w:b/>
          <w:sz w:val="27"/>
          <w:szCs w:val="27"/>
          <w:lang w:eastAsia="en-US"/>
        </w:rPr>
        <w:t>_____</w:t>
      </w:r>
      <w:r w:rsidR="00A50346"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>_____________</w:t>
      </w:r>
    </w:p>
    <w:p w:rsidR="00CE2497" w:rsidRPr="008442CA" w:rsidRDefault="00CE2497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</w:p>
    <w:p w:rsidR="00CE2497" w:rsidRPr="008442CA" w:rsidRDefault="00CE2497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</w:p>
    <w:p w:rsidR="00FB3029" w:rsidRPr="008442CA" w:rsidRDefault="00FB3029" w:rsidP="005F05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8442CA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   </w:t>
      </w:r>
    </w:p>
    <w:sectPr w:rsidR="00FB3029" w:rsidRPr="008442CA" w:rsidSect="00B75DBE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08"/>
    <w:rsid w:val="00046282"/>
    <w:rsid w:val="000D4781"/>
    <w:rsid w:val="002761E4"/>
    <w:rsid w:val="002E13B8"/>
    <w:rsid w:val="00300A22"/>
    <w:rsid w:val="0031221A"/>
    <w:rsid w:val="003A460D"/>
    <w:rsid w:val="003B4396"/>
    <w:rsid w:val="003D451D"/>
    <w:rsid w:val="004E2CBD"/>
    <w:rsid w:val="00517183"/>
    <w:rsid w:val="005F05B5"/>
    <w:rsid w:val="006146C3"/>
    <w:rsid w:val="00682CC2"/>
    <w:rsid w:val="006D7297"/>
    <w:rsid w:val="0080225C"/>
    <w:rsid w:val="008442CA"/>
    <w:rsid w:val="00972D1B"/>
    <w:rsid w:val="00A13E9A"/>
    <w:rsid w:val="00A50346"/>
    <w:rsid w:val="00B11133"/>
    <w:rsid w:val="00B75DBE"/>
    <w:rsid w:val="00CB3E67"/>
    <w:rsid w:val="00CE2497"/>
    <w:rsid w:val="00D57116"/>
    <w:rsid w:val="00D715E3"/>
    <w:rsid w:val="00E25395"/>
    <w:rsid w:val="00E42D51"/>
    <w:rsid w:val="00E83D7B"/>
    <w:rsid w:val="00EA2779"/>
    <w:rsid w:val="00FB3029"/>
    <w:rsid w:val="00FC220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281"/>
  <w15:chartTrackingRefBased/>
  <w15:docId w15:val="{37ABDC08-9641-415D-A268-21AACEA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FC220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D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D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gs@uo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DB64-11DB-4CA5-BA40-064451D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Quintão</dc:creator>
  <cp:keywords/>
  <dc:description/>
  <cp:lastModifiedBy>Gustavo Quintão</cp:lastModifiedBy>
  <cp:revision>30</cp:revision>
  <cp:lastPrinted>2023-08-09T15:22:00Z</cp:lastPrinted>
  <dcterms:created xsi:type="dcterms:W3CDTF">2023-08-07T14:53:00Z</dcterms:created>
  <dcterms:modified xsi:type="dcterms:W3CDTF">2023-08-09T15:24:00Z</dcterms:modified>
</cp:coreProperties>
</file>